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10AF2">
        <w:rPr>
          <w:rFonts w:ascii="Arial" w:hAnsi="Arial" w:cs="Arial"/>
          <w:sz w:val="22"/>
          <w:szCs w:val="22"/>
        </w:rPr>
        <w:t xml:space="preserve">In November 2012, Geoffrey Thomas and John Mickel </w:t>
      </w:r>
      <w:r>
        <w:rPr>
          <w:rFonts w:ascii="Arial" w:hAnsi="Arial" w:cs="Arial"/>
          <w:sz w:val="22"/>
          <w:szCs w:val="22"/>
        </w:rPr>
        <w:t xml:space="preserve">were appointed </w:t>
      </w:r>
      <w:r w:rsidRPr="00010AF2">
        <w:rPr>
          <w:rFonts w:ascii="Arial" w:hAnsi="Arial" w:cs="Arial"/>
          <w:sz w:val="22"/>
          <w:szCs w:val="22"/>
        </w:rPr>
        <w:t xml:space="preserve">to undertake a comprehensive review of </w:t>
      </w:r>
      <w:r w:rsidR="00053E87">
        <w:rPr>
          <w:rFonts w:ascii="Arial" w:hAnsi="Arial" w:cs="Arial"/>
          <w:sz w:val="22"/>
          <w:szCs w:val="22"/>
        </w:rPr>
        <w:t>Trade and Investment Queensland (</w:t>
      </w:r>
      <w:r w:rsidRPr="00010AF2">
        <w:rPr>
          <w:rFonts w:ascii="Arial" w:hAnsi="Arial" w:cs="Arial"/>
          <w:sz w:val="22"/>
          <w:szCs w:val="22"/>
        </w:rPr>
        <w:t>TIQ</w:t>
      </w:r>
      <w:r w:rsidR="00053E87">
        <w:rPr>
          <w:rFonts w:ascii="Arial" w:hAnsi="Arial" w:cs="Arial"/>
          <w:sz w:val="22"/>
          <w:szCs w:val="22"/>
        </w:rPr>
        <w:t>)</w:t>
      </w:r>
      <w:r w:rsidRPr="00010AF2">
        <w:rPr>
          <w:rFonts w:ascii="Arial" w:hAnsi="Arial" w:cs="Arial"/>
          <w:sz w:val="22"/>
          <w:szCs w:val="22"/>
        </w:rPr>
        <w:t xml:space="preserve">.  The Report was presented in January 2013.  </w:t>
      </w:r>
    </w:p>
    <w:p w:rsidR="00010AF2" w:rsidRPr="00010AF2" w:rsidRDefault="00010AF2" w:rsidP="00674D91">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Report made 86 recommendations across the organisation, with key recommendations on TIQ's role and operations domestically and overseas, alignment of resources in current and emerging markets, and corporate structure and governance.  </w:t>
      </w:r>
    </w:p>
    <w:p w:rsidR="00010AF2" w:rsidRPr="00010AF2" w:rsidRDefault="00010AF2" w:rsidP="00674D91">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Government accepted the recommendation to create a statutory body with a board drawn from appropriately qualified business people to promote Brand Queensland globally, identify new business opportunities and partners for Queensland exporters and attract global companies to invest in Queensland.</w:t>
      </w:r>
    </w:p>
    <w:p w:rsidR="00010AF2" w:rsidRPr="00010AF2" w:rsidRDefault="00010AF2" w:rsidP="00674D91">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w:t>
      </w:r>
      <w:r w:rsidRPr="00010AF2">
        <w:rPr>
          <w:rFonts w:ascii="Arial" w:hAnsi="Arial" w:cs="Arial"/>
          <w:i/>
          <w:sz w:val="22"/>
          <w:szCs w:val="22"/>
        </w:rPr>
        <w:t>Trade and Investment Queensland Act 2013</w:t>
      </w:r>
      <w:r w:rsidRPr="00010AF2">
        <w:rPr>
          <w:rFonts w:ascii="Arial" w:hAnsi="Arial" w:cs="Arial"/>
          <w:sz w:val="22"/>
          <w:szCs w:val="22"/>
        </w:rPr>
        <w:t xml:space="preserve"> (the Act) was passed in June 2013.</w:t>
      </w:r>
    </w:p>
    <w:p w:rsid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Act gives effect to the key institutional and governance features recommended by the TIQ Review and facilitates the transfer of assets, liabilities and employees from Queensland Treasury and Trade’s (QTT) Trade Office.  The object and functions of the Act reflects TIQ’s core dual export and investment roles.  </w:t>
      </w:r>
    </w:p>
    <w:p w:rsidR="00010AF2" w:rsidRPr="00010AF2"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Trade and Investment Queensland (TIQ) Board is the Government’s lead agency responsible for facilitating and promoting trade and investment opportunities for Queensland, and foreign countries.  The role of the Board is to be responsible for the way TIQ performs its functions in a proper, effective and efficient way.  </w:t>
      </w:r>
    </w:p>
    <w:p w:rsidR="00D6589B" w:rsidRDefault="00010AF2" w:rsidP="00010AF2">
      <w:pPr>
        <w:numPr>
          <w:ilvl w:val="0"/>
          <w:numId w:val="1"/>
        </w:numPr>
        <w:tabs>
          <w:tab w:val="clear" w:pos="720"/>
          <w:tab w:val="num" w:pos="360"/>
        </w:tabs>
        <w:spacing w:before="240"/>
        <w:ind w:left="360"/>
        <w:jc w:val="both"/>
        <w:rPr>
          <w:rFonts w:ascii="Arial" w:hAnsi="Arial" w:cs="Arial"/>
          <w:sz w:val="22"/>
          <w:szCs w:val="22"/>
        </w:rPr>
      </w:pPr>
      <w:r w:rsidRPr="00010AF2">
        <w:rPr>
          <w:rFonts w:ascii="Arial" w:hAnsi="Arial" w:cs="Arial"/>
          <w:sz w:val="22"/>
          <w:szCs w:val="22"/>
        </w:rPr>
        <w:t xml:space="preserve">The Act allows for the establishment of a Board as the governing body of TIQ – consisting at least four, but not more than seven members, including the CEOs of QTT and the Department of State Development, Infrastructure and Planning and independent members appointed by the Governor in Council.  </w:t>
      </w:r>
    </w:p>
    <w:p w:rsidR="007125E0" w:rsidRPr="001674E1" w:rsidRDefault="00010AF2" w:rsidP="007125E0">
      <w:pPr>
        <w:numPr>
          <w:ilvl w:val="0"/>
          <w:numId w:val="1"/>
        </w:numPr>
        <w:tabs>
          <w:tab w:val="clear" w:pos="720"/>
          <w:tab w:val="num" w:pos="360"/>
        </w:tabs>
        <w:spacing w:before="240"/>
        <w:ind w:left="360"/>
        <w:jc w:val="both"/>
        <w:rPr>
          <w:rFonts w:ascii="Arial" w:hAnsi="Arial" w:cs="Arial"/>
        </w:rPr>
      </w:pPr>
      <w:r>
        <w:rPr>
          <w:rFonts w:ascii="Arial" w:hAnsi="Arial" w:cs="Arial"/>
          <w:sz w:val="22"/>
          <w:szCs w:val="22"/>
          <w:u w:val="single"/>
        </w:rPr>
        <w:t>Cabinet endorsed</w:t>
      </w:r>
      <w:r>
        <w:rPr>
          <w:rFonts w:ascii="Arial" w:hAnsi="Arial" w:cs="Arial"/>
          <w:sz w:val="22"/>
          <w:szCs w:val="22"/>
        </w:rPr>
        <w:t xml:space="preserve"> that </w:t>
      </w:r>
      <w:r w:rsidR="00FC5B8A">
        <w:rPr>
          <w:rFonts w:ascii="Arial" w:hAnsi="Arial" w:cs="Arial"/>
          <w:sz w:val="22"/>
          <w:szCs w:val="22"/>
        </w:rPr>
        <w:t>Mr Mark Stockwell</w:t>
      </w:r>
      <w:r>
        <w:rPr>
          <w:rFonts w:ascii="Arial" w:hAnsi="Arial" w:cs="Arial"/>
          <w:sz w:val="22"/>
          <w:szCs w:val="22"/>
        </w:rPr>
        <w:t xml:space="preserve"> be recommended to the Governor in Council for appointment as </w:t>
      </w:r>
      <w:r w:rsidR="001C4285">
        <w:rPr>
          <w:rFonts w:ascii="Arial" w:hAnsi="Arial" w:cs="Arial"/>
          <w:sz w:val="22"/>
          <w:szCs w:val="22"/>
        </w:rPr>
        <w:t xml:space="preserve">Chair to the </w:t>
      </w:r>
      <w:r w:rsidR="00053E87">
        <w:rPr>
          <w:rFonts w:ascii="Arial" w:hAnsi="Arial" w:cs="Arial"/>
          <w:sz w:val="22"/>
          <w:szCs w:val="22"/>
        </w:rPr>
        <w:t>Trade and Investment Queensland</w:t>
      </w:r>
      <w:r w:rsidR="001C4285">
        <w:rPr>
          <w:rFonts w:ascii="Arial" w:hAnsi="Arial" w:cs="Arial"/>
          <w:sz w:val="22"/>
          <w:szCs w:val="22"/>
        </w:rPr>
        <w:t xml:space="preserve"> Board for a term </w:t>
      </w:r>
      <w:r w:rsidR="00053E87">
        <w:rPr>
          <w:rFonts w:ascii="Arial" w:hAnsi="Arial" w:cs="Arial"/>
          <w:sz w:val="22"/>
          <w:szCs w:val="22"/>
        </w:rPr>
        <w:t xml:space="preserve">of three years commencing from </w:t>
      </w:r>
      <w:r w:rsidR="00FC5B8A">
        <w:rPr>
          <w:rFonts w:ascii="Arial" w:hAnsi="Arial" w:cs="Arial"/>
          <w:sz w:val="22"/>
          <w:szCs w:val="22"/>
        </w:rPr>
        <w:t>1 October 201</w:t>
      </w:r>
      <w:r w:rsidR="00053E87">
        <w:rPr>
          <w:rFonts w:ascii="Arial" w:hAnsi="Arial" w:cs="Arial"/>
          <w:sz w:val="22"/>
          <w:szCs w:val="22"/>
        </w:rPr>
        <w:t>3</w:t>
      </w:r>
      <w:r>
        <w:rPr>
          <w:rFonts w:ascii="Arial" w:hAnsi="Arial" w:cs="Arial"/>
          <w:sz w:val="22"/>
          <w:szCs w:val="22"/>
        </w:rPr>
        <w:t>.</w:t>
      </w:r>
    </w:p>
    <w:p w:rsidR="001674E1" w:rsidRPr="001674E1" w:rsidRDefault="001674E1" w:rsidP="001674E1">
      <w:pPr>
        <w:keepNext/>
        <w:numPr>
          <w:ilvl w:val="0"/>
          <w:numId w:val="1"/>
        </w:numPr>
        <w:tabs>
          <w:tab w:val="clear" w:pos="720"/>
          <w:tab w:val="num" w:pos="360"/>
        </w:tabs>
        <w:spacing w:before="360"/>
        <w:ind w:left="357" w:hanging="357"/>
        <w:jc w:val="both"/>
        <w:rPr>
          <w:rFonts w:ascii="Arial" w:hAnsi="Arial" w:cs="Arial"/>
          <w:sz w:val="22"/>
          <w:szCs w:val="22"/>
        </w:rPr>
      </w:pPr>
      <w:r w:rsidRPr="001674E1">
        <w:rPr>
          <w:rFonts w:ascii="Arial" w:hAnsi="Arial" w:cs="Arial"/>
          <w:i/>
          <w:sz w:val="22"/>
          <w:szCs w:val="22"/>
          <w:u w:val="single"/>
        </w:rPr>
        <w:t>Attachments</w:t>
      </w:r>
    </w:p>
    <w:p w:rsidR="001674E1" w:rsidRPr="001674E1" w:rsidRDefault="001674E1" w:rsidP="001674E1">
      <w:pPr>
        <w:numPr>
          <w:ilvl w:val="0"/>
          <w:numId w:val="2"/>
        </w:numPr>
        <w:spacing w:before="120"/>
        <w:ind w:left="811"/>
        <w:jc w:val="both"/>
        <w:rPr>
          <w:rFonts w:ascii="Arial" w:hAnsi="Arial" w:cs="Arial"/>
          <w:sz w:val="22"/>
          <w:szCs w:val="22"/>
        </w:rPr>
      </w:pPr>
      <w:r>
        <w:rPr>
          <w:rFonts w:ascii="Arial" w:hAnsi="Arial" w:cs="Arial"/>
          <w:sz w:val="22"/>
          <w:szCs w:val="22"/>
        </w:rPr>
        <w:t>Nil</w:t>
      </w:r>
      <w:r w:rsidRPr="001674E1">
        <w:rPr>
          <w:rFonts w:ascii="Arial" w:hAnsi="Arial" w:cs="Arial"/>
          <w:sz w:val="22"/>
          <w:szCs w:val="22"/>
        </w:rPr>
        <w:t>.</w:t>
      </w:r>
    </w:p>
    <w:sectPr w:rsidR="001674E1" w:rsidRPr="001674E1" w:rsidSect="001674E1">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A9" w:rsidRDefault="009F12A9" w:rsidP="00D6589B">
      <w:r>
        <w:separator/>
      </w:r>
    </w:p>
  </w:endnote>
  <w:endnote w:type="continuationSeparator" w:id="0">
    <w:p w:rsidR="009F12A9" w:rsidRDefault="009F12A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A9" w:rsidRDefault="009F12A9" w:rsidP="00D6589B">
      <w:r>
        <w:separator/>
      </w:r>
    </w:p>
  </w:footnote>
  <w:footnote w:type="continuationSeparator" w:id="0">
    <w:p w:rsidR="009F12A9" w:rsidRDefault="009F12A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2427A">
      <w:rPr>
        <w:rFonts w:ascii="Arial" w:hAnsi="Arial" w:cs="Arial"/>
        <w:b/>
        <w:color w:val="auto"/>
        <w:sz w:val="22"/>
        <w:szCs w:val="22"/>
        <w:lang w:eastAsia="en-US"/>
      </w:rPr>
      <w:t>September</w:t>
    </w:r>
    <w:r w:rsidR="00010AF2">
      <w:rPr>
        <w:rFonts w:ascii="Arial" w:hAnsi="Arial" w:cs="Arial"/>
        <w:b/>
        <w:color w:val="auto"/>
        <w:sz w:val="22"/>
        <w:szCs w:val="22"/>
        <w:lang w:eastAsia="en-US"/>
      </w:rPr>
      <w:t xml:space="preserve"> 2013</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82427A">
      <w:rPr>
        <w:rFonts w:ascii="Arial" w:hAnsi="Arial" w:cs="Arial"/>
        <w:b/>
        <w:sz w:val="22"/>
        <w:szCs w:val="22"/>
        <w:u w:val="single"/>
      </w:rPr>
      <w:t xml:space="preserve">an inaugural </w:t>
    </w:r>
    <w:r w:rsidR="00FC5B8A">
      <w:rPr>
        <w:rFonts w:ascii="Arial" w:hAnsi="Arial" w:cs="Arial"/>
        <w:b/>
        <w:sz w:val="22"/>
        <w:szCs w:val="22"/>
        <w:u w:val="single"/>
      </w:rPr>
      <w:t>Chairperson</w:t>
    </w:r>
    <w:r w:rsidR="0082427A">
      <w:rPr>
        <w:rFonts w:ascii="Arial" w:hAnsi="Arial" w:cs="Arial"/>
        <w:b/>
        <w:sz w:val="22"/>
        <w:szCs w:val="22"/>
        <w:u w:val="single"/>
      </w:rPr>
      <w:t xml:space="preserve"> </w:t>
    </w:r>
    <w:r>
      <w:rPr>
        <w:rFonts w:ascii="Arial" w:hAnsi="Arial" w:cs="Arial"/>
        <w:b/>
        <w:sz w:val="22"/>
        <w:szCs w:val="22"/>
        <w:u w:val="single"/>
      </w:rPr>
      <w:t>to the Trade and Investment Queensland Board</w:t>
    </w:r>
  </w:p>
  <w:p w:rsidR="00CB1501" w:rsidRDefault="00010AF2"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E0A3292"/>
    <w:multiLevelType w:val="hybridMultilevel"/>
    <w:tmpl w:val="C994A71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10AF2"/>
    <w:rsid w:val="00053E87"/>
    <w:rsid w:val="00080F8F"/>
    <w:rsid w:val="0010384C"/>
    <w:rsid w:val="001674E1"/>
    <w:rsid w:val="00174117"/>
    <w:rsid w:val="00197AC6"/>
    <w:rsid w:val="001C4285"/>
    <w:rsid w:val="002105F8"/>
    <w:rsid w:val="00251BB6"/>
    <w:rsid w:val="00251DC1"/>
    <w:rsid w:val="002F5866"/>
    <w:rsid w:val="00396F0D"/>
    <w:rsid w:val="004D16FB"/>
    <w:rsid w:val="004F2F6B"/>
    <w:rsid w:val="00501C66"/>
    <w:rsid w:val="00550873"/>
    <w:rsid w:val="005B4EE8"/>
    <w:rsid w:val="00624495"/>
    <w:rsid w:val="00674D91"/>
    <w:rsid w:val="006B30CC"/>
    <w:rsid w:val="007125E0"/>
    <w:rsid w:val="007265D0"/>
    <w:rsid w:val="00732E22"/>
    <w:rsid w:val="00741C20"/>
    <w:rsid w:val="0082427A"/>
    <w:rsid w:val="008A749C"/>
    <w:rsid w:val="008F42A7"/>
    <w:rsid w:val="00904077"/>
    <w:rsid w:val="00937A4A"/>
    <w:rsid w:val="00945402"/>
    <w:rsid w:val="009F12A9"/>
    <w:rsid w:val="00A30DA0"/>
    <w:rsid w:val="00AE4D8A"/>
    <w:rsid w:val="00C75E67"/>
    <w:rsid w:val="00CB1501"/>
    <w:rsid w:val="00CD7A50"/>
    <w:rsid w:val="00CF0D8A"/>
    <w:rsid w:val="00D1740E"/>
    <w:rsid w:val="00D6589B"/>
    <w:rsid w:val="00D755A2"/>
    <w:rsid w:val="00D766EC"/>
    <w:rsid w:val="00E66910"/>
    <w:rsid w:val="00F13DBE"/>
    <w:rsid w:val="00F85C0C"/>
    <w:rsid w:val="00FC5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9821B-F8C8-45CF-89AE-F024463F21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E51E8-D50D-43D3-AAEE-C9EE990C9AC9}">
  <ds:schemaRefs>
    <ds:schemaRef ds:uri="http://schemas.microsoft.com/office/2006/metadata/longProperties"/>
  </ds:schemaRefs>
</ds:datastoreItem>
</file>

<file path=customXml/itemProps3.xml><?xml version="1.0" encoding="utf-8"?>
<ds:datastoreItem xmlns:ds="http://schemas.openxmlformats.org/officeDocument/2006/customXml" ds:itemID="{27556B1E-4F75-4FE9-9F72-FE5A1C9F9A48}">
  <ds:schemaRefs>
    <ds:schemaRef ds:uri="http://schemas.microsoft.com/sharepoint/v3/contenttype/forms"/>
  </ds:schemaRefs>
</ds:datastoreItem>
</file>

<file path=customXml/itemProps4.xml><?xml version="1.0" encoding="utf-8"?>
<ds:datastoreItem xmlns:ds="http://schemas.openxmlformats.org/officeDocument/2006/customXml" ds:itemID="{02934A6A-F5EF-4048-9F3D-5A6A7AFC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305</Words>
  <Characters>1676</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1986</CharactersWithSpaces>
  <SharedDoc>false</SharedDoc>
  <HyperlinkBase>https://www.cabinet.qld.gov.au/documents/2013/Sep/Appt ch TIQ/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2014-07-01T09:07:00Z</cp:lastPrinted>
  <dcterms:created xsi:type="dcterms:W3CDTF">2017-10-25T00:55:00Z</dcterms:created>
  <dcterms:modified xsi:type="dcterms:W3CDTF">2018-03-06T01:22:00Z</dcterms:modified>
  <cp:category>Significant_Appointments,Trade,Investment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0x01010064BE853DE2347F4181EBA6EDC010AAFD</vt:lpwstr>
  </property>
  <property fmtid="{D5CDD505-2E9C-101B-9397-08002B2CF9AE}" pid="6" name="IsMyDocuments">
    <vt:lpwstr>1</vt:lpwstr>
  </property>
</Properties>
</file>